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C6" w:rsidRPr="005E27AE" w:rsidRDefault="004E40C6" w:rsidP="00AB0EF9">
      <w:pPr>
        <w:spacing w:after="0" w:line="276" w:lineRule="auto"/>
        <w:ind w:left="1134" w:right="1134"/>
        <w:jc w:val="center"/>
        <w:rPr>
          <w:rFonts w:ascii="Times New Roman" w:hAnsi="Times New Roman"/>
          <w:sz w:val="24"/>
          <w:szCs w:val="24"/>
          <w:lang w:val="ky-KG"/>
        </w:rPr>
      </w:pPr>
      <w:bookmarkStart w:id="0" w:name="_GoBack"/>
      <w:r w:rsidRPr="007A4B32">
        <w:rPr>
          <w:rFonts w:ascii="Times New Roman" w:hAnsi="Times New Roman"/>
          <w:b/>
          <w:sz w:val="24"/>
          <w:szCs w:val="24"/>
          <w:lang w:val="ky-KG"/>
        </w:rPr>
        <w:t xml:space="preserve">Приложение </w:t>
      </w:r>
      <w:r w:rsidR="007A4B32" w:rsidRPr="007A4B32">
        <w:rPr>
          <w:rFonts w:ascii="Times New Roman" w:hAnsi="Times New Roman"/>
          <w:b/>
          <w:sz w:val="24"/>
          <w:szCs w:val="24"/>
          <w:lang w:val="ky-KG"/>
        </w:rPr>
        <w:t>1</w:t>
      </w:r>
      <w:r w:rsidR="007A4B32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5E27AE">
        <w:rPr>
          <w:rFonts w:ascii="Times New Roman" w:hAnsi="Times New Roman"/>
          <w:sz w:val="24"/>
          <w:szCs w:val="24"/>
          <w:lang w:val="ky-KG"/>
        </w:rPr>
        <w:t xml:space="preserve">к типовому договору с </w:t>
      </w:r>
      <w:r>
        <w:rPr>
          <w:rFonts w:ascii="Times New Roman" w:hAnsi="Times New Roman"/>
          <w:b/>
          <w:sz w:val="24"/>
          <w:szCs w:val="24"/>
          <w:lang w:val="ky-KG"/>
        </w:rPr>
        <w:t>общепрофильными стационарами</w:t>
      </w:r>
      <w:r w:rsidRPr="005E27AE">
        <w:rPr>
          <w:rFonts w:ascii="Times New Roman" w:hAnsi="Times New Roman"/>
          <w:sz w:val="24"/>
          <w:szCs w:val="24"/>
          <w:lang w:val="ky-KG"/>
        </w:rPr>
        <w:t xml:space="preserve"> в соответствии с Программой государственных гарантий по обеспечению граждан в Кыргызской Республике медико-санитарной помощью, утвержденной постановлением Правительства Кыргызской Республики от 20 ноября 2015 г. №790</w:t>
      </w:r>
    </w:p>
    <w:p w:rsidR="004E40C6" w:rsidRPr="00B557C3" w:rsidRDefault="004E40C6" w:rsidP="004E40C6">
      <w:pPr>
        <w:spacing w:after="200" w:line="276" w:lineRule="auto"/>
        <w:ind w:left="1134" w:right="1134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B557C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sz w:val="20"/>
          <w:szCs w:val="20"/>
          <w:lang w:val="ky-KG" w:eastAsia="ru-RU"/>
        </w:rPr>
        <w:t>в</w:t>
      </w:r>
      <w:r w:rsidRPr="00B557C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редакции постановлений Правительства КР </w:t>
      </w:r>
      <w:hyperlink r:id="rId4" w:history="1">
        <w:r w:rsidRPr="00B557C3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30 декабря 2019 года № 724</w:t>
        </w:r>
      </w:hyperlink>
      <w:r w:rsidRPr="00B557C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)</w:t>
      </w:r>
    </w:p>
    <w:tbl>
      <w:tblPr>
        <w:tblStyle w:val="a4"/>
        <w:tblW w:w="14596" w:type="dxa"/>
        <w:tblInd w:w="0" w:type="dxa"/>
        <w:tblLook w:val="04A0" w:firstRow="1" w:lastRow="0" w:firstColumn="1" w:lastColumn="0" w:noHBand="0" w:noVBand="1"/>
      </w:tblPr>
      <w:tblGrid>
        <w:gridCol w:w="3755"/>
        <w:gridCol w:w="5029"/>
        <w:gridCol w:w="5812"/>
      </w:tblGrid>
      <w:tr w:rsidR="00AB0EF9" w:rsidTr="00AB0EF9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медико-санитарной помощи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предоставления медико-санитарной помощи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медико-санитарной помощи</w:t>
            </w:r>
          </w:p>
        </w:tc>
      </w:tr>
      <w:tr w:rsidR="00AB0EF9" w:rsidTr="00AB0EF9"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экстренная медицинская помощь в амбулаторных условиях;</w:t>
            </w:r>
          </w:p>
          <w:p w:rsidR="00AB0EF9" w:rsidRPr="00AB0EF9" w:rsidRDefault="00AB0EF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AB0EF9">
              <w:rPr>
                <w:rFonts w:ascii="Times New Roman" w:hAnsi="Times New Roman"/>
                <w:sz w:val="24"/>
                <w:szCs w:val="24"/>
              </w:rPr>
              <w:t>экстренная консультативная медицинская помощь (санитарная авиация)</w:t>
            </w:r>
            <w:r w:rsidRPr="00AB0EF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</w:t>
            </w:r>
            <w:r w:rsidRPr="00AB0EF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AB0EF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стационаров </w:t>
            </w:r>
            <w:r w:rsidRPr="00AB0EF9">
              <w:rPr>
                <w:rFonts w:ascii="Times New Roman" w:hAnsi="Times New Roman"/>
                <w:sz w:val="24"/>
                <w:szCs w:val="24"/>
              </w:rPr>
              <w:t xml:space="preserve">третичного </w:t>
            </w:r>
            <w:r w:rsidRPr="00AB0EF9">
              <w:rPr>
                <w:rFonts w:ascii="Times New Roman" w:hAnsi="Times New Roman"/>
                <w:sz w:val="24"/>
                <w:szCs w:val="24"/>
                <w:lang w:val="ky-KG"/>
              </w:rPr>
              <w:t>уровня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специализированная медицинская помощь в амбулаторных условиях;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стационарная помощь;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лекарственное и вакцинное обеспечение;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иммунопрофилактика.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необходимо наличие направления на госпитализацию в стационар, выписываемого специалистами ЦСМ, ЦОВП, ГСВ, ведомственной медицинской службы, военно-врачебной комиссии, консультативно-диагностических отделений стационара;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получения бесплатной и льготной медико-санитарной помощи необходимо наличие документа, удостоверяющего право на льготы (паспорт, свидетельство о рождении для детей в возрасте до 16 лет, справка о рождении ребенка до получения свидетельства о рождении, пенсионное удостоверение, полис обязательного медицинского страхования).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у пациента необходимых анализов из ЦСМ, ЦОВП, ГСВ и направления на стационарное лечение пациент госпитализируется без дублирующего обследования в консультативно-диагностических отделениях стационаров.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стационарная помощь при наличии направления на госпитализацию предоставляется:</w:t>
            </w:r>
          </w:p>
          <w:p w:rsidR="003D7588" w:rsidRDefault="00AB0EF9" w:rsidP="003D75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D7588">
              <w:rPr>
                <w:rFonts w:ascii="Times New Roman" w:hAnsi="Times New Roman"/>
                <w:sz w:val="24"/>
                <w:szCs w:val="24"/>
              </w:rPr>
              <w:t xml:space="preserve">бесплатно гражданам, имеющим право на бесплатное получение медико-санитарной </w:t>
            </w:r>
            <w:r w:rsidR="003D7588">
              <w:rPr>
                <w:rFonts w:ascii="Times New Roman" w:hAnsi="Times New Roman"/>
                <w:sz w:val="24"/>
                <w:szCs w:val="24"/>
              </w:rPr>
              <w:lastRenderedPageBreak/>
              <w:t>помощи по социальному статусу и по клиническим показаниям основного заболевания;</w:t>
            </w:r>
          </w:p>
          <w:p w:rsidR="00AB0EF9" w:rsidRDefault="000173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="00AB0E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условием внесения </w:t>
            </w:r>
            <w:proofErr w:type="spellStart"/>
            <w:r w:rsidR="00AB0EF9">
              <w:rPr>
                <w:rFonts w:ascii="Times New Roman" w:hAnsi="Times New Roman"/>
                <w:sz w:val="24"/>
                <w:szCs w:val="24"/>
                <w:u w:val="single"/>
              </w:rPr>
              <w:t>сооплаты</w:t>
            </w:r>
            <w:proofErr w:type="spellEnd"/>
            <w:r w:rsidR="00AB0E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минимального уровня </w:t>
            </w:r>
            <w:r w:rsidR="00AB0EF9">
              <w:rPr>
                <w:rFonts w:ascii="Times New Roman" w:hAnsi="Times New Roman"/>
                <w:sz w:val="24"/>
                <w:szCs w:val="24"/>
              </w:rPr>
              <w:t xml:space="preserve">следующим </w:t>
            </w:r>
            <w:proofErr w:type="spellStart"/>
            <w:r w:rsidR="00AB0EF9">
              <w:rPr>
                <w:rFonts w:ascii="Times New Roman" w:hAnsi="Times New Roman"/>
                <w:sz w:val="24"/>
                <w:szCs w:val="24"/>
              </w:rPr>
              <w:t>гражданам:пенсионерам</w:t>
            </w:r>
            <w:proofErr w:type="spellEnd"/>
            <w:r w:rsidR="00AB0EF9">
              <w:rPr>
                <w:rFonts w:ascii="Times New Roman" w:hAnsi="Times New Roman"/>
                <w:sz w:val="24"/>
                <w:szCs w:val="24"/>
              </w:rPr>
              <w:t xml:space="preserve"> в возрасте до 70 лет; лицам, награжденным медалью "Ветеран труда"; лицам, получающим социальные пособия;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условием внесения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сооплаты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среднего уровня </w:t>
            </w:r>
            <w:r>
              <w:rPr>
                <w:rFonts w:ascii="Times New Roman" w:hAnsi="Times New Roman"/>
                <w:sz w:val="24"/>
                <w:szCs w:val="24"/>
              </w:rPr>
              <w:t>следующим гражданам: гражданам, застрахованным по обязательному медицинскому страхованию, в том числе имеющим Полис ОМС, самостоятельно уплачивающим взносы на обязательное медицинское страхование; гражданам, имеющим право на льготы по социальному статусу, поступающим на плановое стационарное лечение третий и более раз в год;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 с условием внесения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сооплаты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максимального уровня </w:t>
            </w:r>
            <w:r>
              <w:rPr>
                <w:rFonts w:ascii="Times New Roman" w:hAnsi="Times New Roman"/>
                <w:sz w:val="24"/>
                <w:szCs w:val="24"/>
              </w:rPr>
              <w:t>остальным гражданам.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стационарном лечении не допускается взимание дополнительной оплаты за проведение необходимых консультаций, лабораторных и диагностических исследований (за исключением дорогостоящих исследований и манипуляций).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Госпитализация пациентов, имеющих направление на госпитализацию и прошедших предварительное обследование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этапе, осуществляется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обследования в консультативно-диагностическом отделении стационаров.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19C" w:rsidRDefault="00FB019C" w:rsidP="00FB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свобождаются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внесения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сооплаты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решению лечебно-контрольной комиссии организации здравоохранения, создаваемой внутренним приказом руководителя данной организации здравоохранения:</w:t>
            </w:r>
          </w:p>
          <w:p w:rsidR="00FB019C" w:rsidRDefault="00FB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</w:t>
            </w:r>
            <w:proofErr w:type="spellStart"/>
            <w:r w:rsidR="00AB0EF9">
              <w:rPr>
                <w:rFonts w:ascii="Times New Roman" w:hAnsi="Times New Roman"/>
                <w:sz w:val="24"/>
                <w:szCs w:val="24"/>
              </w:rPr>
              <w:t>раждане</w:t>
            </w:r>
            <w:proofErr w:type="spellEnd"/>
            <w:r w:rsidR="00AB0EF9">
              <w:rPr>
                <w:rFonts w:ascii="Times New Roman" w:hAnsi="Times New Roman"/>
                <w:sz w:val="24"/>
                <w:szCs w:val="24"/>
              </w:rPr>
              <w:t xml:space="preserve">, относящиеся к категории малообеспеченных, имеющие доход ниже гарантированного минимального дохода, лица без определенного места жительства, лица, поступившие без документов, военнослужащие срочной службы при предоставлении справки, выданной органами социальной защиты или </w:t>
            </w:r>
            <w:proofErr w:type="spellStart"/>
            <w:r w:rsidR="00AB0EF9">
              <w:rPr>
                <w:rFonts w:ascii="Times New Roman" w:hAnsi="Times New Roman"/>
                <w:sz w:val="24"/>
                <w:szCs w:val="24"/>
              </w:rPr>
              <w:t>айыл</w:t>
            </w:r>
            <w:proofErr w:type="spellEnd"/>
            <w:r w:rsidR="00AB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0EF9">
              <w:rPr>
                <w:rFonts w:ascii="Times New Roman" w:hAnsi="Times New Roman"/>
                <w:sz w:val="24"/>
                <w:szCs w:val="24"/>
              </w:rPr>
              <w:t>окмоту</w:t>
            </w:r>
            <w:proofErr w:type="spellEnd"/>
            <w:r w:rsidR="00AB0EF9">
              <w:rPr>
                <w:rFonts w:ascii="Times New Roman" w:hAnsi="Times New Roman"/>
                <w:sz w:val="24"/>
                <w:szCs w:val="24"/>
              </w:rPr>
              <w:t xml:space="preserve">, командиром воинской части, </w:t>
            </w:r>
          </w:p>
          <w:p w:rsidR="00FB019C" w:rsidRDefault="00FB01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84D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Больничный список лекарственных средств и изделий медицинского назначения утверждается руководителем организации здравоохранения по согласованию с ТУ Фонда ОМС. </w:t>
            </w:r>
          </w:p>
          <w:p w:rsidR="00401522" w:rsidRDefault="00401522" w:rsidP="004015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Больничный список лекарственных средств и изделий медицинского назначения составляется на основе ПЖВЛС и утверждается руководителем организации здравоохранения по согласованию с ТУ Фонда ОМС.</w:t>
            </w:r>
          </w:p>
          <w:p w:rsidR="00401522" w:rsidRDefault="00401522" w:rsidP="004015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522" w:rsidRDefault="00401522" w:rsidP="004015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больничный список дополнительно могут быть включены лекарственные средства, до 20 процентов от числа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средств, входящих в Перечень жизненно важных лекарственных средств.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лекарственных средств в организациях здравоохранения производится в соответствии с законодательством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в области государственных закупок, с учетом потребностей организаций здравоохранения. При этом закупка лекарственных средств по дополнительному списку не должна превышать десяти процентов от общего годового объема средств и перечня жизненно важных лекарств, направленных на закупку лекарственных средств.</w:t>
            </w:r>
          </w:p>
          <w:p w:rsidR="00F429E6" w:rsidRDefault="00F429E6" w:rsidP="00F429E6">
            <w:pPr>
              <w:tabs>
                <w:tab w:val="left" w:pos="993"/>
              </w:tabs>
              <w:spacing w:line="240" w:lineRule="auto"/>
              <w:ind w:lef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здравоохранения обеспечивают наглядную информацию о наличии лекарственных средств и изделий медицинского назначения в доступном для пациента месте.</w:t>
            </w:r>
          </w:p>
          <w:p w:rsidR="00F429E6" w:rsidRDefault="00F42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EF9" w:rsidRDefault="00F42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</w:t>
            </w:r>
            <w:r w:rsidR="00AB0EF9">
              <w:rPr>
                <w:rFonts w:ascii="Times New Roman" w:hAnsi="Times New Roman"/>
                <w:sz w:val="24"/>
                <w:szCs w:val="24"/>
              </w:rPr>
              <w:t>В случае, если фактические расходы на лекарственное обеспечение пациента превышают трехкратную среднюю стоимость лечения, утвержденную в установленном порядке Фондом ОМС, лечебно-контрольная комиссия стационара может принять решение об оплате дополнительных расходов на лекарственные средства для дальнейшего лечения за счет средств пациента, независимо от наличия у него прав на льготы.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Экстренная медицинская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оказывается всем гражданам бесплатно до выведения из состояния, угрожающего жизни и здоровью пациента, включая обеспечение лекарственными средствами и медицинскими изделиями.</w:t>
            </w:r>
          </w:p>
          <w:p w:rsidR="00AB0EF9" w:rsidRP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B0EF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AB0E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AB0EF9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AB0E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Экстренная консультативная медицинская помощь</w:t>
            </w:r>
            <w:r w:rsidRPr="00AB0EF9">
              <w:rPr>
                <w:rFonts w:ascii="Times New Roman" w:hAnsi="Times New Roman"/>
                <w:sz w:val="24"/>
                <w:szCs w:val="24"/>
              </w:rPr>
              <w:t xml:space="preserve"> оказывается круглосуточно и предоставляется безотлагательно всем гражданам, находящимся на лечении в организациях здравоохранения. Экстренная консультативная медицинская помощь включает в себя очные и заочные консультации, а также оказание практической помощи в организациях здравоохранения независимо от формы собственности </w:t>
            </w:r>
            <w:r w:rsidRPr="00AB0EF9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AB0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EF9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Pr="00AB0EF9">
              <w:rPr>
                <w:rFonts w:ascii="Times New Roman" w:hAnsi="Times New Roman"/>
                <w:sz w:val="24"/>
                <w:szCs w:val="24"/>
              </w:rPr>
              <w:t xml:space="preserve">ля третичного </w:t>
            </w:r>
            <w:r w:rsidRPr="00AB0EF9">
              <w:rPr>
                <w:rFonts w:ascii="Times New Roman" w:hAnsi="Times New Roman"/>
                <w:sz w:val="24"/>
                <w:szCs w:val="24"/>
                <w:lang w:val="ky-KG"/>
              </w:rPr>
              <w:t>уровня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В амбулаторно-диагностических и консультативно-диагностических отделениях стационаров лабораторно-диагностические исследования,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помимо</w:t>
            </w:r>
            <w:r w:rsidR="00FB019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лабораторных и диагностических исследований, проводятся при наличии направления: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бесплатно гражданам, имеющим право на бесплатное получение медико-санитарной помощи по социальному статусу и по клиническим показаниям основного заболевания;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размере 50 процентов от стоимости медицинской услуги по Прейскуранту цен гражданам,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застрахованным по обязательному медицинскому страхованию;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остальным гражданам - по Прейскуранту цен на медицинские услуги.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Плановая стационарная помощь только при наличии направления на госпитализацию предоставляется: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бесплатно гражданам, имеющим право на бесплатное получение медико-санитарной помощи по социальному статусу, но не более двух плановых госпитализаций в год (за исключением детей в возрасте до 6 лет) и по клиническим показаниям основного заболевания.</w:t>
            </w:r>
          </w:p>
          <w:p w:rsidR="00AB0EF9" w:rsidRPr="00FB019C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V</w:t>
            </w:r>
            <w:r w:rsidRPr="00FB019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. </w:t>
            </w:r>
            <w:r w:rsidRPr="00FB019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Оказание антирабической помощи</w:t>
            </w:r>
            <w:r w:rsidRPr="00FB019C">
              <w:rPr>
                <w:rFonts w:ascii="Times New Roman" w:hAnsi="Times New Roman"/>
                <w:sz w:val="24"/>
                <w:szCs w:val="24"/>
              </w:rPr>
              <w:t xml:space="preserve"> пациенту по эпидемиологическим показаниям при опасности заражения бешенством в стационаре осуществляется бесплатно.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VI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Иммунопрофилактика/вакцинация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9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(для родильных домом/отделений) </w:t>
            </w:r>
            <w:r>
              <w:rPr>
                <w:rFonts w:ascii="Times New Roman" w:hAnsi="Times New Roman"/>
                <w:sz w:val="24"/>
                <w:szCs w:val="24"/>
              </w:rPr>
              <w:t>в рамках Национального календаря профилактических прививок и прививок по эпидемиологическим показаниям, утверждаемого МЗКР проводится бесплатно всем гражданам.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VII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Паллиативная помощь оказывается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инкурабельным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больным в терминальной стадии заболевания в следующем объеме: интенсивная симптоматическая терапия, психосоциальная помощь, длительный посторонний уход.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VIII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Лекарственное обеспечение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граждан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больничного списка лекарственных средств и изделий медицинского назначения, составляемого на основе Перечня жизненно важных лекарственных средств.</w:t>
            </w:r>
          </w:p>
          <w:p w:rsidR="00AB0EF9" w:rsidRDefault="00AB0E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0C6" w:rsidRDefault="004E40C6" w:rsidP="004E40C6">
      <w:pPr>
        <w:rPr>
          <w:rFonts w:ascii="Times New Roman" w:hAnsi="Times New Roman"/>
          <w:sz w:val="28"/>
          <w:szCs w:val="28"/>
        </w:rPr>
      </w:pPr>
    </w:p>
    <w:bookmarkEnd w:id="0"/>
    <w:p w:rsidR="0055362D" w:rsidRDefault="0055362D"/>
    <w:sectPr w:rsidR="0055362D" w:rsidSect="004E40C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C6"/>
    <w:rsid w:val="000173DB"/>
    <w:rsid w:val="0026784D"/>
    <w:rsid w:val="003D7588"/>
    <w:rsid w:val="00401522"/>
    <w:rsid w:val="004E40C6"/>
    <w:rsid w:val="0055362D"/>
    <w:rsid w:val="00554CD6"/>
    <w:rsid w:val="006E1917"/>
    <w:rsid w:val="007A4B32"/>
    <w:rsid w:val="00AB0EF9"/>
    <w:rsid w:val="00CC2C5E"/>
    <w:rsid w:val="00F429E6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B94F"/>
  <w15:chartTrackingRefBased/>
  <w15:docId w15:val="{46BC0556-7F95-41F4-9D58-5E37387C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C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0C6"/>
    <w:rPr>
      <w:color w:val="0563C1" w:themeColor="hyperlink"/>
      <w:u w:val="single"/>
    </w:rPr>
  </w:style>
  <w:style w:type="paragraph" w:customStyle="1" w:styleId="tkNazvanie">
    <w:name w:val="_Название (tkNazvanie)"/>
    <w:basedOn w:val="a"/>
    <w:rsid w:val="004E40C6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4E40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oktom://db/159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salamatova</dc:creator>
  <cp:keywords/>
  <dc:description/>
  <cp:lastModifiedBy>salamatova</cp:lastModifiedBy>
  <cp:revision>15</cp:revision>
  <dcterms:created xsi:type="dcterms:W3CDTF">2020-01-23T05:17:00Z</dcterms:created>
  <dcterms:modified xsi:type="dcterms:W3CDTF">2020-02-20T11:03:00Z</dcterms:modified>
</cp:coreProperties>
</file>